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7049A8" w:rsidRDefault="000E7B1C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  <w:r w:rsidR="0058207F">
              <w:rPr>
                <w:rFonts w:ascii="Arial" w:hAnsi="Arial" w:cs="Arial"/>
                <w:smallCaps/>
                <w:szCs w:val="22"/>
              </w:rPr>
              <w:t xml:space="preserve"> - Health</w:t>
            </w:r>
          </w:p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7049A8" w:rsidRPr="00CE15F4" w:rsidRDefault="0058207F" w:rsidP="000E7B1C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public services</w:t>
            </w:r>
          </w:p>
        </w:tc>
      </w:tr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7049A8" w:rsidRPr="00B5494C" w:rsidRDefault="0058207F" w:rsidP="000E7B1C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>
              <w:rPr>
                <w:rFonts w:ascii="Arial" w:hAnsi="Arial" w:cs="Arial"/>
                <w:smallCaps/>
                <w:szCs w:val="22"/>
              </w:rPr>
              <w:t>lec</w:t>
            </w:r>
            <w:proofErr w:type="spellEnd"/>
            <w:r>
              <w:rPr>
                <w:rFonts w:ascii="Arial" w:hAnsi="Arial" w:cs="Arial"/>
                <w:smallCaps/>
                <w:szCs w:val="22"/>
              </w:rPr>
              <w:t xml:space="preserve"> b</w:t>
            </w: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7049A8" w:rsidRPr="00B5494C" w:rsidRDefault="00D93F0D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123-22</w:t>
            </w:r>
            <w:bookmarkStart w:id="0" w:name="_GoBack"/>
            <w:bookmarkEnd w:id="0"/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7049A8" w:rsidRPr="00B5494C" w:rsidTr="000E7B1C">
        <w:tc>
          <w:tcPr>
            <w:tcW w:w="2425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7049A8" w:rsidRPr="00B5494C" w:rsidRDefault="007049A8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7049A8" w:rsidRPr="00B5494C" w:rsidRDefault="007049A8" w:rsidP="000E7B1C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7049A8" w:rsidRPr="00B5494C" w:rsidRDefault="007049A8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:rsidTr="000E7B1C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0E7B1C" w:rsidRDefault="00A2551D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professional </w:t>
            </w:r>
            <w:r w:rsidR="00C11821">
              <w:rPr>
                <w:rFonts w:ascii="Arial" w:hAnsi="Arial" w:cs="Arial"/>
              </w:rPr>
              <w:t xml:space="preserve">Qualification </w:t>
            </w:r>
          </w:p>
          <w:p w:rsidR="00260F7F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Degree</w:t>
            </w:r>
          </w:p>
          <w:p w:rsidR="009B0960" w:rsidRPr="00260F7F" w:rsidRDefault="009B0960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9B0960">
              <w:rPr>
                <w:rFonts w:ascii="Arial" w:hAnsi="Arial" w:cs="Arial"/>
              </w:rPr>
              <w:t>PGCE/Cert Ed</w:t>
            </w:r>
          </w:p>
          <w:p w:rsidR="009B0960" w:rsidRDefault="000E7B1C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A1 </w:t>
            </w:r>
            <w:r w:rsidR="00260F7F">
              <w:rPr>
                <w:rFonts w:ascii="Arial" w:hAnsi="Arial" w:cs="Arial"/>
                <w:szCs w:val="22"/>
              </w:rPr>
              <w:t xml:space="preserve"> &amp; V1 Award</w:t>
            </w:r>
          </w:p>
          <w:p w:rsidR="000A7B72" w:rsidRPr="00B5494C" w:rsidRDefault="000A7B7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GCSE Maths and English at Grade C or above or equivalent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0E7B1C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4A3593" w:rsidP="00260F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0A7B72" w:rsidRDefault="000A7B72" w:rsidP="00260F7F">
            <w:pPr>
              <w:jc w:val="center"/>
              <w:rPr>
                <w:rFonts w:ascii="Arial" w:hAnsi="Arial" w:cs="Arial"/>
                <w:sz w:val="20"/>
              </w:rPr>
            </w:pPr>
          </w:p>
          <w:p w:rsidR="000A7B72" w:rsidRPr="00813896" w:rsidRDefault="000A7B72" w:rsidP="00260F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0A7B72" w:rsidRDefault="000A7B72" w:rsidP="00260F7F">
            <w:pPr>
              <w:jc w:val="center"/>
              <w:rPr>
                <w:rFonts w:ascii="Arial" w:hAnsi="Arial" w:cs="Arial"/>
                <w:sz w:val="20"/>
              </w:rPr>
            </w:pPr>
          </w:p>
          <w:p w:rsidR="000A7B72" w:rsidRPr="00813896" w:rsidRDefault="000A7B72" w:rsidP="00260F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7049A8" w:rsidRPr="00B5494C" w:rsidTr="000E7B1C">
        <w:tc>
          <w:tcPr>
            <w:tcW w:w="2808" w:type="dxa"/>
            <w:gridSpan w:val="2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7049A8" w:rsidRPr="00B5494C" w:rsidRDefault="007049A8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FD70FB">
        <w:trPr>
          <w:trHeight w:val="3420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Relevant, successful experience of teaching across a variety of levels.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1223C2" w:rsidRP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Recent successful professional experience in the relevant area.</w:t>
            </w:r>
          </w:p>
          <w:p w:rsidR="007049A8" w:rsidRPr="0058207F" w:rsidRDefault="0011679A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Successful experience of working within the </w:t>
            </w:r>
            <w:r w:rsidR="00EE7A35" w:rsidRPr="0058207F">
              <w:rPr>
                <w:rFonts w:ascii="Arial" w:hAnsi="Arial" w:cs="Arial"/>
              </w:rPr>
              <w:t>health and social care</w:t>
            </w:r>
            <w:r w:rsidRPr="0058207F">
              <w:rPr>
                <w:rFonts w:ascii="Arial" w:hAnsi="Arial" w:cs="Arial"/>
              </w:rPr>
              <w:t xml:space="preserve"> sector</w:t>
            </w:r>
          </w:p>
          <w:p w:rsidR="0011679A" w:rsidRPr="0058207F" w:rsidRDefault="00A2551D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Experience </w:t>
            </w:r>
            <w:r w:rsidR="001223C2" w:rsidRPr="0058207F">
              <w:rPr>
                <w:rFonts w:ascii="Arial" w:hAnsi="Arial" w:cs="Arial"/>
              </w:rPr>
              <w:t>of successful course management</w:t>
            </w:r>
            <w:r w:rsidRPr="0058207F">
              <w:rPr>
                <w:rFonts w:ascii="Arial" w:hAnsi="Arial" w:cs="Arial"/>
              </w:rPr>
              <w:t>.</w:t>
            </w:r>
          </w:p>
          <w:p w:rsidR="0058207F" w:rsidRDefault="005820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  <w:p w:rsidR="0011679A" w:rsidRPr="0058207F" w:rsidRDefault="0011679A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Experience of delivering apprenticeships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leading students to the successful completion of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their course.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FD70FB" w:rsidRDefault="00A2551D" w:rsidP="00FD70FB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student centred methods of curriculum delivery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049A8" w:rsidRPr="00813896" w:rsidRDefault="007049A8" w:rsidP="0058207F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1223C2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EE7A35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Pr="00813896" w:rsidRDefault="0011679A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EE7A35" w:rsidRDefault="00EE7A35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Pr="00813896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58207F" w:rsidP="00FD70F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  <w:tr w:rsidR="007049A8" w:rsidRPr="00B5494C" w:rsidTr="000E7B1C">
        <w:tc>
          <w:tcPr>
            <w:tcW w:w="2808" w:type="dxa"/>
            <w:gridSpan w:val="2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7049A8" w:rsidRPr="00B5494C" w:rsidRDefault="007049A8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:rsidTr="000E7B1C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in-depth and practical knowledge of relevant subject.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current qualification structure.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issues affecting Further Education.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understanding of, and demonstrable commitment to,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Safeguarding Children and Young People and Vulnerable Adults.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communicate with a range of students on both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theoretical and practical aspects.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Good organisational and administrative skills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use full ICT facilities supporting the learning environment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demonstrate values and behaviours suitable to work with the student and staff groups.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 work under pressure with changing priorities.</w:t>
            </w: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58207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5820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promote and deliver excellent customer service</w:t>
            </w:r>
          </w:p>
          <w:p w:rsidR="009B0960" w:rsidRPr="0058207F" w:rsidRDefault="001223C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Understanding of excellence in teaching and learning</w:t>
            </w:r>
          </w:p>
          <w:p w:rsidR="0011679A" w:rsidRPr="0058207F" w:rsidRDefault="0011679A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Demonstrate ability to lead a small team of staff</w:t>
            </w:r>
          </w:p>
          <w:p w:rsidR="007049A8" w:rsidRPr="0058207F" w:rsidRDefault="001223C2" w:rsidP="009B0960">
            <w:pPr>
              <w:rPr>
                <w:rFonts w:ascii="Arial" w:hAnsi="Arial" w:cs="Arial"/>
                <w:b w:val="0"/>
                <w:sz w:val="20"/>
              </w:rPr>
            </w:pPr>
            <w:r w:rsidRPr="0058207F">
              <w:rPr>
                <w:rFonts w:ascii="Arial" w:hAnsi="Arial" w:cs="Arial"/>
                <w:b w:val="0"/>
                <w:sz w:val="20"/>
              </w:rPr>
              <w:t xml:space="preserve">Demonstrate ability to build good relationships with </w:t>
            </w:r>
            <w:r w:rsidR="00A2551D" w:rsidRPr="0058207F">
              <w:rPr>
                <w:rFonts w:ascii="Arial" w:hAnsi="Arial" w:cs="Arial"/>
                <w:b w:val="0"/>
                <w:sz w:val="20"/>
              </w:rPr>
              <w:t>a wide variety of stakeholders, including students, employers and schools.</w:t>
            </w:r>
          </w:p>
          <w:p w:rsidR="0011679A" w:rsidRPr="0058207F" w:rsidRDefault="0011679A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536B51" w:rsidRPr="0058207F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  <w:r w:rsidRPr="0058207F">
              <w:rPr>
                <w:rFonts w:ascii="Arial" w:hAnsi="Arial" w:cs="Arial"/>
                <w:b w:val="0"/>
                <w:sz w:val="20"/>
              </w:rPr>
              <w:t>Ability to communicate effectively both orally and in writing</w:t>
            </w:r>
          </w:p>
          <w:p w:rsidR="00536B51" w:rsidRPr="008C527D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</w:t>
            </w: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223C2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536B51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D70FB" w:rsidRDefault="00FD70FB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EE7A35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E7A35" w:rsidRDefault="004A3593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EE7A35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E7A35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EE7A35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E7A35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EE7A35" w:rsidRDefault="00EE7A35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FD70FB" w:rsidRDefault="00FD70FB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Pr="008C527D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AF/I</w:t>
            </w:r>
          </w:p>
          <w:p w:rsidR="000D0270" w:rsidRDefault="000D027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Pr="00813896" w:rsidRDefault="0058207F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42416" w:rsidRDefault="00442416" w:rsidP="00442416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FD70FB" w:rsidRDefault="00FD70FB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58207F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442416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Pr="00813896" w:rsidRDefault="0058207F" w:rsidP="004424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8207F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FD70FB" w:rsidRDefault="00FD70FB" w:rsidP="0058207F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Pr="008C527D" w:rsidRDefault="0058207F" w:rsidP="0058207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  <w:tr w:rsidR="007049A8" w:rsidRPr="00B5494C" w:rsidTr="000E7B1C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7049A8" w:rsidRPr="00B5494C" w:rsidRDefault="007049A8" w:rsidP="000E7B1C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7049A8" w:rsidRPr="00B5494C" w:rsidRDefault="007049A8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:rsidTr="000E7B1C">
        <w:tc>
          <w:tcPr>
            <w:tcW w:w="6768" w:type="dxa"/>
            <w:gridSpan w:val="3"/>
          </w:tcPr>
          <w:p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58207F">
              <w:rPr>
                <w:rFonts w:ascii="Arial" w:hAnsi="Arial" w:cs="Arial"/>
                <w:b w:val="0"/>
                <w:sz w:val="20"/>
              </w:rPr>
              <w:t>ave a DBS</w:t>
            </w:r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:rsidR="007049A8" w:rsidRPr="00B5494C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  <w:r>
              <w:rPr>
                <w:b w:val="0"/>
                <w:szCs w:val="20"/>
              </w:rPr>
              <w:t xml:space="preserve">The post holder would be expected to demonstrate </w:t>
            </w:r>
            <w:r w:rsidR="0011679A">
              <w:rPr>
                <w:b w:val="0"/>
                <w:szCs w:val="20"/>
              </w:rPr>
              <w:t>a commitment to developing his/her</w:t>
            </w:r>
            <w:r>
              <w:rPr>
                <w:b w:val="0"/>
                <w:szCs w:val="20"/>
              </w:rPr>
              <w:t xml:space="preserve"> knowledge and understanding of Further Education, including funding arrangements, student related processes and the quality framework.</w:t>
            </w:r>
          </w:p>
        </w:tc>
        <w:tc>
          <w:tcPr>
            <w:tcW w:w="1142" w:type="dxa"/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8207F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Pr="00813896" w:rsidRDefault="009B0960" w:rsidP="009B09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B0960" w:rsidRPr="00B5494C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:rsidR="0011679A" w:rsidRDefault="00FD70FB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58207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11679A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7049A8" w:rsidRPr="00E2473E" w:rsidRDefault="007049A8" w:rsidP="007049A8"/>
    <w:p w:rsidR="007049A8" w:rsidRDefault="007049A8" w:rsidP="007049A8"/>
    <w:p w:rsidR="007049A8" w:rsidRDefault="007049A8" w:rsidP="007049A8"/>
    <w:p w:rsidR="007049A8" w:rsidRDefault="007049A8" w:rsidP="007049A8"/>
    <w:p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A8"/>
    <w:rsid w:val="000A7B72"/>
    <w:rsid w:val="000D0270"/>
    <w:rsid w:val="000D598F"/>
    <w:rsid w:val="000E7B1C"/>
    <w:rsid w:val="000F634A"/>
    <w:rsid w:val="0011679A"/>
    <w:rsid w:val="001223C2"/>
    <w:rsid w:val="002314F4"/>
    <w:rsid w:val="00260F7F"/>
    <w:rsid w:val="00271A6A"/>
    <w:rsid w:val="002B6B68"/>
    <w:rsid w:val="0041153E"/>
    <w:rsid w:val="00442416"/>
    <w:rsid w:val="00486561"/>
    <w:rsid w:val="004A3593"/>
    <w:rsid w:val="00536B51"/>
    <w:rsid w:val="0058207F"/>
    <w:rsid w:val="006D3587"/>
    <w:rsid w:val="007049A8"/>
    <w:rsid w:val="00790589"/>
    <w:rsid w:val="007E790E"/>
    <w:rsid w:val="00882A58"/>
    <w:rsid w:val="00884E13"/>
    <w:rsid w:val="008B1C86"/>
    <w:rsid w:val="009B0960"/>
    <w:rsid w:val="009C467A"/>
    <w:rsid w:val="00A2551D"/>
    <w:rsid w:val="00A752AF"/>
    <w:rsid w:val="00BC3EA9"/>
    <w:rsid w:val="00C00096"/>
    <w:rsid w:val="00C02BD1"/>
    <w:rsid w:val="00C11821"/>
    <w:rsid w:val="00CA4AD3"/>
    <w:rsid w:val="00CE15F4"/>
    <w:rsid w:val="00D93F0D"/>
    <w:rsid w:val="00DF46C9"/>
    <w:rsid w:val="00DF7B63"/>
    <w:rsid w:val="00E65035"/>
    <w:rsid w:val="00EA4478"/>
    <w:rsid w:val="00EE7A35"/>
    <w:rsid w:val="00F86790"/>
    <w:rsid w:val="00F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4F993"/>
  <w15:docId w15:val="{EF94E514-A5EF-409C-851B-3A7C5B32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dcterms:created xsi:type="dcterms:W3CDTF">2022-03-03T12:37:00Z</dcterms:created>
  <dcterms:modified xsi:type="dcterms:W3CDTF">2022-03-03T12:37:00Z</dcterms:modified>
</cp:coreProperties>
</file>